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spacing w:line="360" w:lineRule="auto"/>
        <w:ind w:firstLine="0"/>
        <w:jc w:val="center"/>
      </w:pPr>
      <w:r>
        <w:rPr>
          <w:rFonts w:ascii="楷体" w:hAnsi="楷体" w:eastAsia="楷体"/>
          <w:color w:val="000000"/>
          <w:sz w:val="28"/>
        </w:rPr>
        <w:t>晋能控股装备制造集团有限公司 诚信核查报告</w:t>
      </w: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1、百度（https://www.baidu.com/s）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30b4bc9e_watermark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2、中华人民共和国生态环境部网站（https://www.mee.gov.cn）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95760a16_watermark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3、中华人民共和国商务部网站（https://search.mofcom.gov.cn）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6721cae8_watermark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4、国家外汇管理局网站（http://www.safe.gov.cn）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5cb26cd5_watermark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5、中国人民银行网站（https://wzdig.pbc.gov.cn）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5488b8d3_watermarke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6、国家金融监督管理总局（https://www.nfra.gov.cn/cn/view/pages/index/jiansuo.html）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2b94367e_watermarke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7、中国盐业协会（https://www.cnsalt.cn）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71b2de68_watermarke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8、国家统计局网站（https://www.stats.gov.cn）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5bc9bc13_watermarke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9、国家能源局网站（https://www.nea.gov.cn）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69db30a7_watermarke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10、国家市场监督管理总局（https://www.samr.gov.cn）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65fda157_watermarke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11、国家农业农村部网站（https://www.moa.gov.cn）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12783e6f_watermarke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12、中华人民共和国住房和城乡建设部（https://www.mohurd.gov.cn）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8260a85e_watermarke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13、全国建筑市场监管公共服务平台（https://jzsc.mohurd.gov.cn）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01570a55_watermarke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14、中华人民共和国人力资源和社会保障部网站（https://www.mohrss.gov.cn/hsearch/）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f1a6b97c_watermarke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15、中国电力企业联合会网站（https://cec.org.cn）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fe9f57d7_watermarke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center"/>
      </w:pPr>
      <w:r>
        <w:rPr>
          <w:rFonts w:ascii="楷体" w:hAnsi="楷体" w:eastAsia="楷体"/>
          <w:color w:val="000000"/>
          <w:sz w:val="24"/>
        </w:rPr>
        <w:t>16、国家药品监督管理局（https://www.nmpa.gov.cn）</w:t>
      </w:r>
      <w:r>
        <w:drawing>
          <wp:inline xmlns:a="http://schemas.openxmlformats.org/drawingml/2006/main" xmlns:pic="http://schemas.openxmlformats.org/drawingml/2006/picture">
            <wp:extent cx="5486400" cy="3429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晋能控股装备制造集团有限公司_bd481ab3_watermarke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17、国家企业信用信息公示系统（http://www.gsxt.gov.cn/index.html）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18、国家税务总局重大税收违法案件信息公布栏（https://www.chinatax.gov.cn）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19、信用中国网（http://www.creditchina.gov.cn）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20、中国裁判文书网（http://wenshu.court.gov.cn）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21、中华人民共和国国家发展和改革委员会网站（http://www.ndrc.gov.cn）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22、中国执行信息公开网（http://zxgk.court.gov.cn/shixin/）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23、中华人民共和国应急管理部网站（http://www.mem.gov.cn）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24、中华人民共和国工业和信息化部网站（http://www.miit.gov.cn）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25、中国商务信用平台（http://www.bcpcn.com）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26、全国行业信用公共服务平台（http://www.bcp12312.org.cn）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27、中国证券监督管理委员会网站（http://www.csrc.gov.cn）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28、证券期货市场失信记录查询平台（http://neris.csrc.gov.cn/shixinchaxun/）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29、中华人民共和国自然资源部（http://www.mnr.gov.cn/）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30、国家财政部网站（http://www.mof.gov.cn/index.htm）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31、中国海关企业进出口信用信息公示平台（http://credit.customs.gov.cn）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32、全国资源公共交易平台（http://www.ggzy.gov.cn）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33、中华人民共和国海关总署（http://www.customs.gov.cn/）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34、中华人民共和国交通运输部网站（https://www.mot.gov.cn/）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35、政府采购严重违法失信行为信息记录（http://www.ccgp.gov.cn/cr/list）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36、信用能源（https://xyny.nea.gov.cn）</w:t>
      </w:r>
    </w:p>
    <w:p>
      <w:pPr>
        <w:spacing w:line="360" w:lineRule="auto" w:after="120"/>
        <w:ind w:firstLine="280"/>
      </w:pPr>
    </w:p>
    <w:p>
      <w:pPr>
        <w:pStyle w:val="Heading2"/>
        <w:spacing w:line="360" w:lineRule="auto" w:after="0"/>
        <w:ind w:firstLine="280"/>
        <w:jc w:val="left"/>
      </w:pPr>
      <w:r>
        <w:rPr>
          <w:rFonts w:ascii="楷体" w:hAnsi="楷体" w:eastAsia="楷体"/>
          <w:color w:val="000000"/>
          <w:sz w:val="24"/>
        </w:rPr>
        <w:t>37、被执行人信息查询（https://zxgk.court.gov.cn/zhzxgk/）</w:t>
      </w:r>
    </w:p>
    <w:p>
      <w:pPr>
        <w:spacing w:line="360" w:lineRule="auto" w:after="120"/>
        <w:ind w:firstLine="280"/>
      </w:pP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晋能控股装备制造集团有限公司 诚信核查报告</dc:title>
  <dc:subject>诚信核查报告</dc:subject>
  <dc:creator>Everify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